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928B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928B1" w:rsidRDefault="0090538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928B1" w:rsidRDefault="00905384">
            <w:pPr>
              <w:spacing w:after="0" w:line="240" w:lineRule="auto"/>
            </w:pPr>
            <w:r>
              <w:t>51572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928B1" w:rsidRDefault="0090538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928B1" w:rsidRDefault="00905384">
            <w:pPr>
              <w:spacing w:after="0" w:line="240" w:lineRule="auto"/>
            </w:pPr>
            <w:r>
              <w:t>DJEČJI VRTIĆ ZIBELJKO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928B1" w:rsidRDefault="0090538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928B1" w:rsidRDefault="00905384">
            <w:pPr>
              <w:spacing w:after="0" w:line="240" w:lineRule="auto"/>
            </w:pPr>
            <w:r>
              <w:t>21</w:t>
            </w:r>
          </w:p>
        </w:tc>
      </w:tr>
    </w:tbl>
    <w:p w:rsidR="007928B1" w:rsidRDefault="00905384">
      <w:r>
        <w:br/>
      </w:r>
    </w:p>
    <w:p w:rsidR="007928B1" w:rsidRDefault="0090538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928B1" w:rsidRDefault="0090538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928B1" w:rsidRDefault="0090538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274.310,88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323.963,32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275.722,82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331.606,34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7928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1.411,94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7.643,02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541,3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21,7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7928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1.966,40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21,7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7928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7928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3.378,34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8.069,69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238,9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U razdoblju od 01. siječnja do 31. prosinca  2025. godine Dječji vrtić "Zibeljko" ostvario je ukupne prihode poslovanja u iznosu od 323.963,32€. U izvještajnom razdoblju prethodne 2024. godine ostvareno je 274.310,88€ prihoda, što je povećanje prihoda u od</w:t>
      </w:r>
      <w:r>
        <w:t>nosu na 2024. godinu za 18,1%. Razlog povećanja je povećanje Prihoda iz nadležnog proračuna za financiranje rashoda poslovanja. Razlog povećanja navedenih prihoda je povećanje koeficijenta  i osnovice za obračun plaće zaposlenika s plaćom za ožujak 2025. g</w:t>
      </w:r>
      <w:r>
        <w:t>odine, a koja se financira iz nadležnog proračuna.</w:t>
      </w:r>
    </w:p>
    <w:p w:rsidR="007928B1" w:rsidRDefault="00905384">
      <w:r>
        <w:lastRenderedPageBreak/>
        <w:t>U razdoblju od 01. siječnja do 31. prosinca 2025. godine Dječji vrtić "Zibeljko" ostvario je ukupne rashode poslovanja u iznosu od 331.606,34€.  U istom izvještajnom razdoblju prethodne 2024. godine ostvar</w:t>
      </w:r>
      <w:r>
        <w:t xml:space="preserve">eno je 275,722,82€ rashoda, što je povećanje rashoda u odnosu na 2024. godinu za 20,3%. Razlog povećanja rashoda je povećanje rashoda za plaće zaposlenika,  znatno povećanje materijalnih rashoda te povećanje rashoda za tekuće i </w:t>
      </w:r>
      <w:proofErr w:type="spellStart"/>
      <w:r>
        <w:t>invensticijsko</w:t>
      </w:r>
      <w:proofErr w:type="spellEnd"/>
      <w:r>
        <w:t xml:space="preserve"> održavanje po</w:t>
      </w:r>
      <w:r>
        <w:t>strojenja i opreme.</w:t>
      </w:r>
    </w:p>
    <w:p w:rsidR="007928B1" w:rsidRDefault="00905384">
      <w:r>
        <w:t>Rashodi za nabavu nefinancijske imovine iznose 426,67€, a odnose se na nabavu knjiga za djecu i nabavu garderobne vertikale koja je smještena u hodniku. U odnosu na izvještajno razdoblje prethodne 2024. godine rashodi za nabavu nefinanc</w:t>
      </w:r>
      <w:r>
        <w:t>ijske imovine bilježe smanjenje od 78.3% jer u 2025. godini nije postojala potreba za nabavom nefinancijske imovine zbog očuvane postojeće nefinancijske imovine. </w:t>
      </w:r>
    </w:p>
    <w:p w:rsidR="007928B1" w:rsidRDefault="00905384">
      <w:r>
        <w:t>Manjak prihoda poslovanja za 2025. godinu iznosi 7.643,02€, a nastao je zbog povećanja rashod</w:t>
      </w:r>
      <w:r>
        <w:t>a poslovanja u 2025. godini. Kada se navedenom manjku pridoda manjak prihoda od nefinancijske imovine ukupan manjak prihoda i primitaka iznosi 8.069,69€. Kada se navedenom manjku doda preneseni višak prihoda i primitaka iz prethodne 2024. godine u iznosu o</w:t>
      </w:r>
      <w:r>
        <w:t>d 6.320,41€, manjak prihoda i primitaka za pokriće u sljedećem razdoblju iznosi 1.749,28€.</w:t>
      </w:r>
    </w:p>
    <w:p w:rsidR="007928B1" w:rsidRDefault="00905384">
      <w:r>
        <w:br/>
      </w:r>
    </w:p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273,3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Tekuće pomoći proračunskim korisnicima iz proračuna koji im nije nadležan odnose se na sufinanciranje programa javnih potreba u predškolskom odgoju i obrazovanju (program </w:t>
      </w:r>
      <w:proofErr w:type="spellStart"/>
      <w:r>
        <w:t>predškole</w:t>
      </w:r>
      <w:proofErr w:type="spellEnd"/>
      <w:r>
        <w:t>) od strane Ministarstva znanosti, obrazovanja i mladih, a koji je namjenski</w:t>
      </w:r>
      <w:r>
        <w:t xml:space="preserve"> utrošen na materijal za rad s djecom i sitni inventar sa </w:t>
      </w:r>
      <w:proofErr w:type="spellStart"/>
      <w:r>
        <w:t>svrkom</w:t>
      </w:r>
      <w:proofErr w:type="spellEnd"/>
      <w:r>
        <w:t xml:space="preserve"> povećanja kvalitete provedbe odgojno- obrazovnih programa. U izvještajnom razdoblju za 2025. godinu ostvareno je 561,60€ više prihoda u odnosu na istro razdoblje prethodne godine. Razlog pove</w:t>
      </w:r>
      <w:r>
        <w:t xml:space="preserve">ćanja navedene stavke od 173,30% je povećanje broja polaznika programa </w:t>
      </w:r>
      <w:proofErr w:type="spellStart"/>
      <w:r>
        <w:t>predškole</w:t>
      </w:r>
      <w:proofErr w:type="spellEnd"/>
      <w:r>
        <w:t xml:space="preserve"> u  odnosu na isto razdoblje prethodne godine.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57.824,69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55.666,32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96,3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Ostali nespomenuti prihodi odnose se na sufinanciranje cijene usluge, participacije i slično, a iznose 55.666,32€ te se odnose na </w:t>
      </w:r>
      <w:proofErr w:type="spellStart"/>
      <w:r>
        <w:t>uplaru</w:t>
      </w:r>
      <w:proofErr w:type="spellEnd"/>
      <w:r>
        <w:t xml:space="preserve"> roditelja za uslugu vrtića. U odnosu na isto </w:t>
      </w:r>
      <w:r>
        <w:lastRenderedPageBreak/>
        <w:t>razdoblje prethodne godine bilježi se smanjenje za 3,70%. Razlog smanjenja</w:t>
      </w:r>
      <w:r>
        <w:t xml:space="preserve"> je smanjenje broja upisane djece u rujnu 2025. godine. Iz navedene činjenice proizlazi smanjenje prihoda u odnosu na isto izvještajno razdoblje prošle godine kada je vrtić polazilo više djece.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U izvještajnom </w:t>
      </w:r>
      <w:proofErr w:type="spellStart"/>
      <w:r>
        <w:t>razdblju</w:t>
      </w:r>
      <w:proofErr w:type="spellEnd"/>
      <w:r>
        <w:t xml:space="preserve"> za 2025. godinu u odnosu na 2024. godinu nisu primljene tekuće donacije od trgovačkih društava.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215.730,59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267.411,40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Prihodi iz nadležnog proračuna za financiranje rashoda poslovanja odnose se na prihode dobivene iz nadležnog proračuna Općine </w:t>
      </w:r>
      <w:proofErr w:type="spellStart"/>
      <w:r>
        <w:t>Bendja</w:t>
      </w:r>
      <w:proofErr w:type="spellEnd"/>
      <w:r>
        <w:t xml:space="preserve"> za financiranje redovne djelatnosti proračunskih korisnika konto 6711 i iznose 160.479,40€ te tekuće pomoći državnog prorač</w:t>
      </w:r>
      <w:r>
        <w:t>una za fiskalnu održivost dječjih vrtića u iznosu od 106.932,00€. Ukupan iznos prihoda iz nadležnog proračuna za financiranje rashoda poslovanja iznose 267.411,40€, što je povećanje od 24,00 u odnosu na isto izvještajno razdoblje prethodne godine. Razlog p</w:t>
      </w:r>
      <w:r>
        <w:t>ovećanja navedenih prihoda je povećanje koeficijenta i osnovice za obračun plaće zaposlenika s plaćom za ožujak 2025. godine i zapošljavanje trećeg odgojitelja u predškolsku skupinu zbog upisa djeteta s teškoćama u razvoju.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200.454,80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250.267,87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Rashodi za zaposlene u iznosu od 250.267,87€ odnose se na jedanaest djelatnica. Povećanje koeficijenta i osnovice za obračun plaće s plaćom za ožujak 2025. godine  i zapošljavanje trećeg odgojitelja u rujnu 2025. godine utjecalo je na povećanje troškova pl</w:t>
      </w:r>
      <w:r>
        <w:t>aće. Iz navedenih razloga bilježi se povećanje rashoda za zaposlene u odnosu na isto izvještajno razdoblje prethodne godine za 24,9%.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74.506,39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80.575,68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Materijalni rashodi ostvareni su u iznosu od 80.575,68€, što je povećanje od 8,15 u odnosu na isto izvještajno razdoblje prethodne godine, kada su materijalni rashodi ostvareni u iznosu od 74.506,39€.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88,4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Službena putovanja iznose 916,80€ i bilježe smanjenje od 11,6% u  odnosu na isto izvještajno razdoblje 2024. godine. Razlog smanjenja je smanjenje troškova službenih putovanja zaposlenika u 2025. godini.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5.493,39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Naknade za prijevoz, za rad na terenu i odvojeni život iznose 5.493,39€, što je povećanje od 30,7% u odnosu na isto izvještajno razdoblje u 2024. godini. Razlog povećanja je promjena mjesta </w:t>
      </w:r>
      <w:proofErr w:type="spellStart"/>
      <w:r>
        <w:t>prebivaliišta</w:t>
      </w:r>
      <w:proofErr w:type="spellEnd"/>
      <w:r>
        <w:t xml:space="preserve"> jedne zaposlenice i jedno dodatno zapošljavanje koji</w:t>
      </w:r>
      <w:r>
        <w:t xml:space="preserve"> su </w:t>
      </w:r>
      <w:proofErr w:type="spellStart"/>
      <w:r>
        <w:t>utjecal</w:t>
      </w:r>
      <w:proofErr w:type="spellEnd"/>
      <w:r>
        <w:t xml:space="preserve"> na povećanje </w:t>
      </w:r>
      <w:proofErr w:type="spellStart"/>
      <w:r>
        <w:t>nakande</w:t>
      </w:r>
      <w:proofErr w:type="spellEnd"/>
      <w:r>
        <w:t xml:space="preserve"> za prijevoz na posao i s posla.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</w:t>
            </w:r>
            <w:r>
              <w:rPr>
                <w:sz w:val="18"/>
              </w:rPr>
              <w:t xml:space="preserve">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101,3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lastRenderedPageBreak/>
        <w:t>Stručno usavršavanje zaposlenika iznos 1.768,92€, što je rast od 1,3%, a odnosi se na povećanje troškova stručnih usavršavanja zaposlenika.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38.341,47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41.649,90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Rashodi za </w:t>
      </w:r>
      <w:proofErr w:type="spellStart"/>
      <w:r>
        <w:t>meterijal</w:t>
      </w:r>
      <w:proofErr w:type="spellEnd"/>
      <w:r>
        <w:t xml:space="preserve"> i energiju iznose 41.649,90€ što je povećanje od 8,6% u odnosu na isto izvještajno razdoblje prethodne godine. Veća povećanja u odnosu na isto razdoblje </w:t>
      </w:r>
      <w:proofErr w:type="spellStart"/>
      <w:r>
        <w:t>prethonde</w:t>
      </w:r>
      <w:proofErr w:type="spellEnd"/>
      <w:r>
        <w:t xml:space="preserve"> godine uslijedila su na stavkama: uredski materijal i ostali materijalni</w:t>
      </w:r>
      <w:r>
        <w:t xml:space="preserve"> rashodi, materijal i sirovine, energija, materijal i dijelovi za tekuće i investicijsko održavanje.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Uredski materijal i ostali materijalni rashodi iznose 6.869,50€ što je povećanje od 6,1% u odnosu na isto izvještajno razdoblje prethodne godine. Razlog povećanja je povećanje cijena dobavljača za uredski materijal  i ostale materijalne rashode. Najznačajn</w:t>
      </w:r>
      <w:r>
        <w:t>ije povećanje u ostalim materijalnim rashodima je povećanje za materijal za potrebe redovnog poslovanja (materijal za rad s djecom) zbog provođenja kreativnih radionica s djecom i roditeljima te povećanje troškova za materijal za higijenske potrebe i njegu</w:t>
      </w:r>
      <w:r>
        <w:t xml:space="preserve"> zbog provođenja preventivnih mjera u svrhu zaštite zdravlja djece i zaposlenika.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23.726,05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26.549,85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Materijal i sirovine iznose 26.549,85€, a odnose se na namirnice. Navedena stavka bilježi rast od 11,9% u odnosu na isto razdoblje prethodne godine. Razlog povećanja troškova za materijal i sirovine odnosi se na povećanje cijena namirnica, koje se ponajpri</w:t>
      </w:r>
      <w:r>
        <w:t>je odnosi na povećanje cijena za voće i povrće te ostale namirnice.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Energija iznosi 6.489,67€ i bilježi rast od 11,3% u odnosu na isto izvještajno razdoblje prethodne godine. Razlog povećanja u </w:t>
      </w:r>
      <w:proofErr w:type="spellStart"/>
      <w:r>
        <w:t>dnosu</w:t>
      </w:r>
      <w:proofErr w:type="spellEnd"/>
      <w:r>
        <w:t xml:space="preserve"> na prethodnu godinu je povećanje cijene električne energije i plina. Povećanje troškova za električnu energiju bilježi se u </w:t>
      </w:r>
      <w:r>
        <w:t xml:space="preserve">ljetnim mjesecima zbog većeg korištenja rashladnih uređaja. Povećanje troškova za </w:t>
      </w:r>
      <w:proofErr w:type="spellStart"/>
      <w:r>
        <w:t>opskbu</w:t>
      </w:r>
      <w:proofErr w:type="spellEnd"/>
      <w:r>
        <w:t xml:space="preserve"> plinom  bilježi se u studenom i prosincu kada je utrošeno više plina zbog zime i niskih temperatura te je bilo potrebno više vremena da se prostorije zagriju.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186,3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Materijal i </w:t>
      </w:r>
      <w:proofErr w:type="spellStart"/>
      <w:r>
        <w:t>djelovi</w:t>
      </w:r>
      <w:proofErr w:type="spellEnd"/>
      <w:r>
        <w:t xml:space="preserve"> za tekuće i investicijsko održavanje iznose 274,09€ i bilježe rast od 86,3% u odnosu na prethodnu godinu. Uzrok navedenom povećanju su nabava materijala za popravak slavina u sanitarnim čvorovima te popravci u prostorijama u kojima bora</w:t>
      </w:r>
      <w:r>
        <w:t>ve djeca.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64,5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Sitni inventar u 2025. godini iznosi 1.002,62€ što je </w:t>
      </w:r>
      <w:proofErr w:type="spellStart"/>
      <w:r>
        <w:t>smanjnje</w:t>
      </w:r>
      <w:proofErr w:type="spellEnd"/>
      <w:r>
        <w:t xml:space="preserve"> u odnosu na prethodnu godinu za 35,5%. Navedena stavka bilježi smanjenje zbog dobre opremljenosti prostora i činjenice da nije bilo potrebe za nabavom novog sitnog inventara.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75,9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lastRenderedPageBreak/>
        <w:t>Službena, radna i zaštitna odjeća i obuća iznosi 464,71 €, što je smanjenje u odnosu na prethodnu godinu za 24,1%. Navedena stavka bilježi smanjenje jer je u 2025. godini nabavljena samo zaštitna  obuća za zaposlenike. Zaštitna odjeća se u 2025. godini nij</w:t>
      </w:r>
      <w:r>
        <w:t>e nabavljala jer se postojeća zaštitna odjeća zaposlenika nije uništila te nije bilo potrebe za nabavom iste.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23.726,66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23.667,55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99,8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Rashodi za usluge iznose 23.667,55€. Veća </w:t>
      </w:r>
      <w:proofErr w:type="spellStart"/>
      <w:r>
        <w:t>povečanja</w:t>
      </w:r>
      <w:proofErr w:type="spellEnd"/>
      <w:r>
        <w:t xml:space="preserve"> u odnosu na isto razdoblje prethodne godine uslijedila su na stavkama:  usluge telefona, pošte i prijevoza, usluge tekućeg i investicijskog održavanja , računalne usluge i ostale usluge.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Usluge telefona, pošte i prijevoza iznose 1.799,89 € , što je 10,1% više u odnosu na isto razdoblje prethodne godine. Razlog </w:t>
      </w:r>
      <w:proofErr w:type="spellStart"/>
      <w:r>
        <w:t>pvećanja</w:t>
      </w:r>
      <w:proofErr w:type="spellEnd"/>
      <w:r>
        <w:t xml:space="preserve"> je povećanje cijena usluga </w:t>
      </w:r>
      <w:proofErr w:type="spellStart"/>
      <w:r>
        <w:t>teleoperatera</w:t>
      </w:r>
      <w:proofErr w:type="spellEnd"/>
      <w:r>
        <w:t xml:space="preserve"> čime su se povećali i troškovi usluga telefona za zaposlenike.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Usluge tekućeg  i investicijskog održavanja iznose 4.328,81€, što je povećanje od 4,9% u odnosu na isto izvještajno razdoblje prethodne godine.  Navedeno povećanje troškova za usluge tekućeg i investicijskog održavanja nastalo je zbog popravka sigurnosnih </w:t>
      </w:r>
      <w:r>
        <w:t xml:space="preserve">staklenih vrata u vrtiću, popravka dimne centrale i centrale za vatrodojavu te ostalih redovnih servisa tijekom godine koji su se obavljali kako bi </w:t>
      </w:r>
      <w:proofErr w:type="spellStart"/>
      <w:r>
        <w:t>postojenje</w:t>
      </w:r>
      <w:proofErr w:type="spellEnd"/>
      <w:r>
        <w:t xml:space="preserve"> i oprema bili sigurni za korištenje.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95,1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Komunalne usluge iznose 1.376,39€ i bilježe smanjenje od 4,9% u odnosu na isto izvještajno razdoblje prethodne godine. Smanjenje troškova za komunalne usluge odnosi se ponajprije na smanjenje navedenih usluga u ljetnim mjesecima kada je u vrtiću bio smanje</w:t>
      </w:r>
      <w:r>
        <w:t xml:space="preserve">n kapacitet djece te su se samim time navedene usluge poput </w:t>
      </w:r>
      <w:proofErr w:type="spellStart"/>
      <w:r>
        <w:t>opskbe</w:t>
      </w:r>
      <w:proofErr w:type="spellEnd"/>
      <w:r>
        <w:t xml:space="preserve"> vodom i odvoz smeća koristile u manjem obujmu.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45,4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Zdravstvene i veterinarske usluge iznose 1.196,97 €, a odnose se na redovne sanitarne preglede zaposlenika i ostale zdravstvene usluge poput uzimanje uzorka </w:t>
      </w:r>
      <w:proofErr w:type="spellStart"/>
      <w:r>
        <w:t>hrave</w:t>
      </w:r>
      <w:proofErr w:type="spellEnd"/>
      <w:r>
        <w:t xml:space="preserve"> i vode koje se obavlja nekoliko puta godišnje od strane Zavoda za javno zdravstvo. Navedene u</w:t>
      </w:r>
      <w:r>
        <w:t>sluge bilježe smanjenje od 54,6% jer u 2025. godini nije bilo sistematskog pregleda za zaposlenike kao u prethodnoj 2024. godini.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8.409,65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7.415,78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88,2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Intelektualne i osobne usluge iznose 7.415,78€ i bilježe smanjenje od 11,8% iz razloga jer  u 2025. godini u vrtiću nije na ugovor o djelu radila </w:t>
      </w:r>
      <w:proofErr w:type="spellStart"/>
      <w:r>
        <w:t>osobakoja</w:t>
      </w:r>
      <w:proofErr w:type="spellEnd"/>
      <w:r>
        <w:t xml:space="preserve"> je u prethodnoj 2024. godini radila putem navedenog ugovora kao edukacijski </w:t>
      </w:r>
      <w:proofErr w:type="spellStart"/>
      <w:r>
        <w:t>rehabilitator</w:t>
      </w:r>
      <w:proofErr w:type="spellEnd"/>
      <w:r>
        <w:t>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129,8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lastRenderedPageBreak/>
        <w:t xml:space="preserve">Računalne usluge iznose 5.179,50€ što je povećanje od 29,8% u odnosu na isto izvještajno razdoblje prethodne </w:t>
      </w:r>
      <w:proofErr w:type="spellStart"/>
      <w:r>
        <w:t>godine.Razlog</w:t>
      </w:r>
      <w:proofErr w:type="spellEnd"/>
      <w:r>
        <w:t xml:space="preserve"> značajnog povećanja za računalne usluge su povećani troškovi za korištenje i održavanje programskih paketa koji se koriste u poslovan</w:t>
      </w:r>
      <w:r>
        <w:t xml:space="preserve">ju, a sve u cilju osiguravanja praćenja zakonskih izmjena uslijed kojih su se </w:t>
      </w:r>
      <w:proofErr w:type="spellStart"/>
      <w:r>
        <w:t>pjedini</w:t>
      </w:r>
      <w:proofErr w:type="spellEnd"/>
      <w:r>
        <w:t xml:space="preserve"> poslovni procesi trebali nadograditi i prilagoditi.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188,9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Ostale usluge iznose 1.644,75e i bilježe povećanje od 88,9% u odnosu na isto razdoblje prethodne godine. Razlog povećanja je povećanje troškova za grafičke i tiskarske usluge kopiranja, uvezivanja i slično zbog objave natječaja u Narodnim novinama.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7.079,12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129,8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Ostali nespomenuti rashodi poslovanja iznose 7.079,12€ što je povećanje od 29,8% u odnosu na prethodno izvještajno razdoblje. Razlog povećanja </w:t>
      </w:r>
      <w:proofErr w:type="spellStart"/>
      <w:r>
        <w:t>prizlazi</w:t>
      </w:r>
      <w:proofErr w:type="spellEnd"/>
      <w:r>
        <w:t xml:space="preserve"> iz povećanja troškova naknade za rad predstavničkih i izvršnih tijela i povećanja troškova za reprezenta</w:t>
      </w:r>
      <w:r>
        <w:t>ciju.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3.548,52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142,6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Naknada za rad predstavničkih i izvršnih tijela, povjerenstava i sl. iznosi 5.061,78€ što je povećanje od 42,6% u odnosu na izvještajno razdoblje prethodne 2024. godine. razlog povećanja je povećanje naknade članovima Upravnog vijeća u 2025. godini te pove</w:t>
      </w:r>
      <w:r>
        <w:t>ćanje broja sjednica Upravnog vijeća u odnosu na isto izvještajno razdoblje prethodne 2024. godine.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211,7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Reprezentacija iznosi 308,97€ što je povećanje od 111,7% u odnosu na isto izvještajno razdoblje prethodne godine. Razlog povećanja u odnosu na 2024. godinu je proslava petog rođendana dječjeg vrtića za koju su nastali veći troškovi za reprezentaciju.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100,2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Financijske rashode čine bankarske usluge i usluge platnog prometa u iznosu od 762,79€. U odnosu na prethodnu godinu financijski rashodi bilježe blago povećanje od 0,2% te se odnose na povećanje troškova za bankarske usluge i usluge platnog prometa.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21,7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Rashodi za nabavu proizvedene dugotrajne imovine iznose 426,67€, a odnose se na uređaje, strojeve i opremu za ostale namjene te na kupnju slikovnica za djecu.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29,4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Uređaji, strojevi i oprema za ostale namjene u iznosu od 316,25€ odnose se na kupnju garderobne </w:t>
      </w:r>
      <w:proofErr w:type="spellStart"/>
      <w:r>
        <w:t>vetikale</w:t>
      </w:r>
      <w:proofErr w:type="spellEnd"/>
      <w:r>
        <w:t xml:space="preserve"> smještene u hodniku. Navedena stavka bilježi smanjenje u 2025. godini u odnosu na 2024. godinu jer nije postojala potreba za nabavom novih uređaja, str</w:t>
      </w:r>
      <w:r>
        <w:t>ojeva i opreme za ostale namjene.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31,4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Knjige iznose 110,42€ i odnose se na kupnju slikovnica za djecu. Navedena stavka bilježi </w:t>
      </w:r>
      <w:proofErr w:type="spellStart"/>
      <w:r>
        <w:t>smanjnje</w:t>
      </w:r>
      <w:proofErr w:type="spellEnd"/>
      <w:r>
        <w:t xml:space="preserve"> od 68,6% u odnosu na isto izvještajno razdoblje prethodne godine jer </w:t>
      </w:r>
      <w:proofErr w:type="spellStart"/>
      <w:r>
        <w:t>potojeće</w:t>
      </w:r>
      <w:proofErr w:type="spellEnd"/>
      <w:r>
        <w:t xml:space="preserve"> slikovnice koje vrtić posjeduje nisu uništene te nije postojala potreba za većom</w:t>
      </w:r>
      <w:r>
        <w:t xml:space="preserve"> nabavom novih slikovnica.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dugotrajna imovina (šifre '021 i 02921' + '022 i 02922' + '023 i 02923' + '024 i 02924' + '025 i </w:t>
            </w:r>
            <w:r>
              <w:rPr>
                <w:sz w:val="18"/>
              </w:rPr>
              <w:t>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13.245,25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8.294,25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62,6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Vrijednost proizvedene dugotrajne imovine na šifri 02 evidentirana je u </w:t>
      </w:r>
      <w:proofErr w:type="spellStart"/>
      <w:r>
        <w:t>u</w:t>
      </w:r>
      <w:proofErr w:type="spellEnd"/>
      <w:r>
        <w:t xml:space="preserve"> iznosu od 8.294,25€. Na kapitalnu imovinu obračunati je ispravak vrijednosti za 2025. godinu u iznosu od 20.557,60€ i proknjižen je na odgovarajuće račune ispravka vrijednosti kako s</w:t>
      </w:r>
      <w:r>
        <w:t>lijedi:</w:t>
      </w:r>
    </w:p>
    <w:p w:rsidR="007928B1" w:rsidRDefault="00905384">
      <w:r>
        <w:t xml:space="preserve">02922 Ispravak vrijednosti </w:t>
      </w:r>
      <w:proofErr w:type="spellStart"/>
      <w:r>
        <w:t>postojenja</w:t>
      </w:r>
      <w:proofErr w:type="spellEnd"/>
      <w:r>
        <w:t xml:space="preserve"> i opreme u iznosu 20.030,87€ i</w:t>
      </w:r>
    </w:p>
    <w:p w:rsidR="007928B1" w:rsidRDefault="00905384">
      <w:r>
        <w:t>02924 Ispravak vrijednosti knjiga, umjetničkih djela i ostalih izložbenih vrijednosti u iznosu od 546,73€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</w:t>
            </w:r>
            <w:r>
              <w:rPr>
                <w:b/>
                <w:sz w:val="18"/>
              </w:rPr>
              <w:t>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25.790,30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24.588,82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95,3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Novčana sredstva na dan 31.12.2025. godine su slijedeća:</w:t>
      </w:r>
    </w:p>
    <w:p w:rsidR="007928B1" w:rsidRDefault="00905384">
      <w:r>
        <w:t>111 Novac u banci 24.562,37€</w:t>
      </w:r>
    </w:p>
    <w:p w:rsidR="007928B1" w:rsidRDefault="00905384">
      <w:r>
        <w:t>113 Novac u blagajni  26,45€</w:t>
      </w:r>
    </w:p>
    <w:p w:rsidR="007928B1" w:rsidRDefault="00905384">
      <w:r>
        <w:t>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87,5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165 potraživanja za upravne i administrativne pristojbe, pristojbe po posebnim propisima i naknade iznose 4.582,20€. U odnosu na </w:t>
      </w:r>
      <w:proofErr w:type="spellStart"/>
      <w:r>
        <w:t>izbvještajno</w:t>
      </w:r>
      <w:proofErr w:type="spellEnd"/>
      <w:r>
        <w:t xml:space="preserve"> razdoblje prethodne godine bilježi se smanjenje od 12,5% zbog smanjenja broja upisane </w:t>
      </w:r>
      <w:proofErr w:type="spellStart"/>
      <w:r>
        <w:t>djce</w:t>
      </w:r>
      <w:proofErr w:type="spellEnd"/>
      <w:r>
        <w:t xml:space="preserve"> u rujnu 2025. godine.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19.469,88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26.338,09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Na računima skupine 2 Obveze šifra 2 evidentirane su obveze  sa 31.12.2025. godine u iznosu od 26.338,09€, a struktura im je sljedeća:</w:t>
      </w:r>
    </w:p>
    <w:p w:rsidR="007928B1" w:rsidRDefault="00905384">
      <w:r>
        <w:t>231 Obveze za zaposlene 22.370,57€</w:t>
      </w:r>
    </w:p>
    <w:p w:rsidR="007928B1" w:rsidRDefault="00905384">
      <w:r>
        <w:t>232 Obveze za materijalne rashode 3.898,92€</w:t>
      </w:r>
    </w:p>
    <w:p w:rsidR="007928B1" w:rsidRDefault="00905384">
      <w:r>
        <w:t>234 Obveze za financijske rashode 68,60€</w:t>
      </w:r>
    </w:p>
    <w:p w:rsidR="007928B1" w:rsidRDefault="00905384">
      <w:r>
        <w:t>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277.689,22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332.033,01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U ovom obrascu iskazani su ukupni rashodi poslovanja za redovni rad vrtića u iznosu od 332.033,01€ i klasificirani su prema funkciji 0911 Predškolsko obrazovanje. 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7928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U obrascu P-VRIO iskazana je promjena u obujmu nefinancijske imovine, koja se odnosi na smanjenje proizvedene  dugotrajne nefinancijske imovine u iznosu od 21,12€  i smanjenje sitnog inventara u iznosu 385,61€.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7928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19.469,88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Stanje obveza na početku izvještajnog razdoblja tj. 01. siječnja 2025. godine, šifra V001 iznosi 19.496,88€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7928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Povećanje obveza u izvještajnom razdoblju (šifre V003+N23+N24 + 'N dio </w:t>
            </w:r>
            <w:r>
              <w:rPr>
                <w:sz w:val="18"/>
              </w:rPr>
              <w:t>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332.403,81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 xml:space="preserve">U razdoblju </w:t>
      </w:r>
      <w:proofErr w:type="spellStart"/>
      <w:r>
        <w:t>sijećčanj</w:t>
      </w:r>
      <w:proofErr w:type="spellEnd"/>
      <w:r>
        <w:t>- prosinac 2025. godine povećanje obveza, šifra V002 iznosi 332.403,81€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7928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Podmirene obveze u izvještajnom razdoblju (šifre </w:t>
            </w:r>
            <w:r>
              <w:rPr>
                <w:sz w:val="18"/>
              </w:rPr>
              <w:t>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325.535,60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928B1" w:rsidRDefault="007928B1">
      <w:pPr>
        <w:spacing w:after="0"/>
      </w:pPr>
    </w:p>
    <w:p w:rsidR="007928B1" w:rsidRDefault="00905384">
      <w:proofErr w:type="spellStart"/>
      <w:r>
        <w:t>Pdmirene</w:t>
      </w:r>
      <w:proofErr w:type="spellEnd"/>
      <w:r>
        <w:t xml:space="preserve"> obveze u izvještajnom razdoblju , šifra V004 iznose 325.535,60€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7928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izvještajnog razdoblja (šifre </w:t>
            </w:r>
            <w:r>
              <w:rPr>
                <w:sz w:val="18"/>
              </w:rPr>
              <w:t>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26.338,09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Stanje obveza na dan 31.12.2025. godine iznose 26.338,09€, a odnose se na:</w:t>
      </w:r>
    </w:p>
    <w:p w:rsidR="007928B1" w:rsidRDefault="00905384">
      <w:pPr>
        <w:pStyle w:val="Odlomakpopisa"/>
        <w:numPr>
          <w:ilvl w:val="0"/>
          <w:numId w:val="1"/>
        </w:numPr>
      </w:pPr>
      <w:r>
        <w:t>obveze za zaposlene u iznosu od 22.945,76€ plaća za prosinac, isplaćeno u siječnju</w:t>
      </w:r>
    </w:p>
    <w:p w:rsidR="007928B1" w:rsidRDefault="00905384">
      <w:pPr>
        <w:pStyle w:val="Odlomakpopisa"/>
        <w:numPr>
          <w:ilvl w:val="0"/>
          <w:numId w:val="1"/>
        </w:numPr>
      </w:pPr>
      <w:r>
        <w:t>ugovor o djelu u iznosu od 477,77€ za prosinac, isplaćeno u siječnju</w:t>
      </w:r>
    </w:p>
    <w:p w:rsidR="007928B1" w:rsidRDefault="00905384">
      <w:pPr>
        <w:pStyle w:val="Odlomakpopisa"/>
        <w:numPr>
          <w:ilvl w:val="0"/>
          <w:numId w:val="1"/>
        </w:numPr>
      </w:pPr>
      <w:r>
        <w:t>obveze za rashode poslovanja u iznosu od 2.914,56€ sa dospijećem plaćanja u siječnju</w:t>
      </w:r>
    </w:p>
    <w:p w:rsidR="007928B1" w:rsidRDefault="007928B1"/>
    <w:p w:rsidR="007928B1" w:rsidRDefault="00905384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92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28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7928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</w:t>
            </w:r>
            <w:r>
              <w:rPr>
                <w:sz w:val="18"/>
              </w:rPr>
              <w:t>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28B1" w:rsidRDefault="009053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928B1" w:rsidRDefault="007928B1">
      <w:pPr>
        <w:spacing w:after="0"/>
      </w:pPr>
    </w:p>
    <w:p w:rsidR="007928B1" w:rsidRDefault="00905384">
      <w:r>
        <w:t>Na kraju izvještajnog razdoblja ne postoje dospjele obveze. </w:t>
      </w:r>
    </w:p>
    <w:p w:rsidR="007928B1" w:rsidRDefault="007928B1"/>
    <w:p w:rsidR="00905384" w:rsidRDefault="00905384" w:rsidP="00905384">
      <w:r>
        <w:t>U Bednji, 30.01.2026</w:t>
      </w:r>
      <w:r>
        <w:t>.</w:t>
      </w:r>
    </w:p>
    <w:p w:rsidR="00905384" w:rsidRDefault="00905384" w:rsidP="00905384">
      <w:r>
        <w:t>Klasa: 400-01/26</w:t>
      </w:r>
      <w:r>
        <w:t>-01/01</w:t>
      </w:r>
    </w:p>
    <w:p w:rsidR="00905384" w:rsidRDefault="00905384" w:rsidP="00905384">
      <w:proofErr w:type="spellStart"/>
      <w:r>
        <w:t>Urbroj</w:t>
      </w:r>
      <w:proofErr w:type="spellEnd"/>
      <w:r>
        <w:t>: 2186-190-02-26-1</w:t>
      </w:r>
    </w:p>
    <w:p w:rsidR="00905384" w:rsidRDefault="00905384" w:rsidP="00905384"/>
    <w:p w:rsidR="00905384" w:rsidRDefault="00905384" w:rsidP="00905384"/>
    <w:p w:rsidR="00905384" w:rsidRDefault="00905384" w:rsidP="00905384">
      <w:pPr>
        <w:rPr>
          <w:sz w:val="23"/>
          <w:szCs w:val="23"/>
        </w:rPr>
      </w:pPr>
      <w:r>
        <w:rPr>
          <w:sz w:val="23"/>
          <w:szCs w:val="23"/>
        </w:rPr>
        <w:t xml:space="preserve">Potpis osobe odgovorne                                                                  Potpis odgovorne osobe                       </w:t>
      </w:r>
    </w:p>
    <w:p w:rsidR="00905384" w:rsidRDefault="00905384" w:rsidP="00905384">
      <w:pPr>
        <w:rPr>
          <w:sz w:val="23"/>
          <w:szCs w:val="23"/>
        </w:rPr>
      </w:pPr>
      <w:r>
        <w:rPr>
          <w:sz w:val="23"/>
          <w:szCs w:val="23"/>
        </w:rPr>
        <w:t>za računovodstvo:                                                                           subjekta i pečat:</w:t>
      </w:r>
    </w:p>
    <w:p w:rsidR="00905384" w:rsidRDefault="00905384" w:rsidP="00905384">
      <w:pPr>
        <w:rPr>
          <w:sz w:val="23"/>
          <w:szCs w:val="23"/>
        </w:rPr>
      </w:pPr>
      <w:r>
        <w:rPr>
          <w:sz w:val="23"/>
          <w:szCs w:val="23"/>
        </w:rPr>
        <w:t>___________________________                                                  __________________________</w:t>
      </w:r>
    </w:p>
    <w:p w:rsidR="00905384" w:rsidRDefault="00905384" w:rsidP="00905384">
      <w:pPr>
        <w:rPr>
          <w:sz w:val="23"/>
          <w:szCs w:val="23"/>
        </w:rPr>
      </w:pPr>
      <w:r>
        <w:rPr>
          <w:sz w:val="23"/>
          <w:szCs w:val="23"/>
        </w:rPr>
        <w:t xml:space="preserve">Natalija Bistrović </w:t>
      </w:r>
      <w:bookmarkStart w:id="0" w:name="_GoBack"/>
      <w:bookmarkEnd w:id="0"/>
      <w:r>
        <w:rPr>
          <w:sz w:val="23"/>
          <w:szCs w:val="23"/>
        </w:rPr>
        <w:t xml:space="preserve">                                                                           Ivana </w:t>
      </w:r>
      <w:proofErr w:type="spellStart"/>
      <w:r>
        <w:rPr>
          <w:sz w:val="23"/>
          <w:szCs w:val="23"/>
        </w:rPr>
        <w:t>Obadić</w:t>
      </w:r>
      <w:proofErr w:type="spellEnd"/>
    </w:p>
    <w:p w:rsidR="00905384" w:rsidRDefault="00905384" w:rsidP="00905384">
      <w:pPr>
        <w:rPr>
          <w:szCs w:val="22"/>
        </w:rPr>
      </w:pPr>
    </w:p>
    <w:p w:rsidR="00905384" w:rsidRDefault="00905384"/>
    <w:sectPr w:rsidR="0090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67C7C"/>
    <w:multiLevelType w:val="hybridMultilevel"/>
    <w:tmpl w:val="E29E7574"/>
    <w:name w:val="disc"/>
    <w:lvl w:ilvl="0" w:tplc="552CEEFA">
      <w:start w:val="1"/>
      <w:numFmt w:val="bullet"/>
      <w:lvlText w:val="•"/>
      <w:lvlJc w:val="left"/>
      <w:pPr>
        <w:ind w:left="720" w:hanging="360"/>
      </w:pPr>
    </w:lvl>
    <w:lvl w:ilvl="1" w:tplc="74A8E3EA">
      <w:start w:val="1"/>
      <w:numFmt w:val="bullet"/>
      <w:lvlText w:val="•"/>
      <w:lvlJc w:val="left"/>
      <w:pPr>
        <w:ind w:left="1440" w:hanging="360"/>
      </w:pPr>
    </w:lvl>
    <w:lvl w:ilvl="2" w:tplc="0426780C">
      <w:start w:val="1"/>
      <w:numFmt w:val="bullet"/>
      <w:lvlText w:val="•"/>
      <w:lvlJc w:val="left"/>
      <w:pPr>
        <w:ind w:left="2160" w:hanging="360"/>
      </w:pPr>
    </w:lvl>
    <w:lvl w:ilvl="3" w:tplc="FEB4DAF4">
      <w:start w:val="1"/>
      <w:numFmt w:val="bullet"/>
      <w:lvlText w:val="•"/>
      <w:lvlJc w:val="left"/>
      <w:pPr>
        <w:ind w:left="2880" w:hanging="360"/>
      </w:pPr>
    </w:lvl>
    <w:lvl w:ilvl="4" w:tplc="82C68604">
      <w:start w:val="1"/>
      <w:numFmt w:val="bullet"/>
      <w:lvlText w:val="•"/>
      <w:lvlJc w:val="left"/>
      <w:pPr>
        <w:ind w:left="3600" w:hanging="360"/>
      </w:pPr>
    </w:lvl>
    <w:lvl w:ilvl="5" w:tplc="BE461D9A">
      <w:start w:val="1"/>
      <w:numFmt w:val="bullet"/>
      <w:lvlText w:val="•"/>
      <w:lvlJc w:val="left"/>
      <w:pPr>
        <w:ind w:left="4320" w:hanging="360"/>
      </w:pPr>
    </w:lvl>
    <w:lvl w:ilvl="6" w:tplc="139A61E2">
      <w:start w:val="1"/>
      <w:numFmt w:val="bullet"/>
      <w:lvlText w:val="•"/>
      <w:lvlJc w:val="left"/>
      <w:pPr>
        <w:ind w:left="5040" w:hanging="360"/>
      </w:pPr>
    </w:lvl>
    <w:lvl w:ilvl="7" w:tplc="9D2400D6">
      <w:start w:val="1"/>
      <w:numFmt w:val="bullet"/>
      <w:lvlText w:val="•"/>
      <w:lvlJc w:val="left"/>
      <w:pPr>
        <w:ind w:left="5760" w:hanging="360"/>
      </w:pPr>
    </w:lvl>
    <w:lvl w:ilvl="8" w:tplc="92F2C6A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28B1"/>
    <w:rsid w:val="007928B1"/>
    <w:rsid w:val="0090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1FEA7-A8A2-46CE-9E3C-AC29B6BE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3822</Words>
  <Characters>21792</Characters>
  <Application>Microsoft Office Word</Application>
  <DocSecurity>0</DocSecurity>
  <Lines>181</Lines>
  <Paragraphs>51</Paragraphs>
  <ScaleCrop>false</ScaleCrop>
  <Company/>
  <LinksUpToDate>false</LinksUpToDate>
  <CharactersWithSpaces>25563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Bednja</cp:lastModifiedBy>
  <cp:revision>2</cp:revision>
  <dcterms:created xsi:type="dcterms:W3CDTF">2026-02-04T10:24:00Z</dcterms:created>
  <dcterms:modified xsi:type="dcterms:W3CDTF">2026-02-04T10:25:00Z</dcterms:modified>
</cp:coreProperties>
</file>